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bookmarkStart w:id="1" w:name="_GoBack"/>
      <w:bookmarkEnd w:id="1"/>
      <w:r w:rsidRPr="00A60380">
        <w:rPr>
          <w:lang w:val="de-DE"/>
        </w:rPr>
        <w:t>3GPP TSG-RAN WG1#</w:t>
      </w:r>
      <w:r w:rsidR="007B1D60">
        <w:rPr>
          <w:lang w:val="de-DE"/>
        </w:rPr>
        <w:t>8</w:t>
      </w:r>
      <w:r w:rsidR="0092006F">
        <w:rPr>
          <w:lang w:val="de-DE"/>
        </w:rPr>
        <w:t>2</w:t>
      </w:r>
      <w:r w:rsidR="00730FAF">
        <w:rPr>
          <w:lang w:val="de-DE"/>
        </w:rPr>
        <w:t>bis</w:t>
      </w:r>
      <w:r w:rsidR="00FC29C6" w:rsidRPr="00A60380">
        <w:rPr>
          <w:lang w:val="de-DE"/>
        </w:rPr>
        <w:tab/>
      </w:r>
      <w:r w:rsidR="006B2B46" w:rsidRPr="009D253A">
        <w:rPr>
          <w:lang w:val="de-DE"/>
        </w:rPr>
        <w:t>R1-</w:t>
      </w:r>
      <w:r w:rsidR="009D253A" w:rsidRPr="009D253A">
        <w:rPr>
          <w:lang w:val="de-DE"/>
        </w:rPr>
        <w:t>15</w:t>
      </w:r>
      <w:r w:rsidR="007B2B21">
        <w:rPr>
          <w:lang w:val="de-DE"/>
        </w:rPr>
        <w:t>5676</w:t>
      </w:r>
    </w:p>
    <w:bookmarkEnd w:id="0"/>
    <w:p w:rsidR="00EA7BAE" w:rsidRPr="009C059F" w:rsidRDefault="00730FAF" w:rsidP="00EA7BAE">
      <w:pPr>
        <w:pStyle w:val="Header"/>
      </w:pPr>
      <w:r w:rsidRPr="00730FAF">
        <w:rPr>
          <w:bCs/>
        </w:rPr>
        <w:t xml:space="preserve">Malmö, Sweden, </w:t>
      </w:r>
      <w:r w:rsidRPr="00730FAF">
        <w:rPr>
          <w:rFonts w:hint="eastAsia"/>
          <w:bCs/>
        </w:rPr>
        <w:t>5</w:t>
      </w:r>
      <w:r w:rsidRPr="00730FAF">
        <w:rPr>
          <w:rFonts w:hint="eastAsia"/>
          <w:bCs/>
          <w:vertAlign w:val="superscript"/>
        </w:rPr>
        <w:t>th</w:t>
      </w:r>
      <w:r w:rsidRPr="00730FAF">
        <w:rPr>
          <w:rFonts w:hint="eastAsia"/>
          <w:bCs/>
        </w:rPr>
        <w:t xml:space="preserve"> </w:t>
      </w:r>
      <w:r w:rsidRPr="00730FAF">
        <w:rPr>
          <w:bCs/>
        </w:rPr>
        <w:t xml:space="preserve">- </w:t>
      </w:r>
      <w:r w:rsidRPr="00730FAF">
        <w:rPr>
          <w:rFonts w:hint="eastAsia"/>
          <w:bCs/>
        </w:rPr>
        <w:t>9</w:t>
      </w:r>
      <w:r w:rsidRPr="00730FAF">
        <w:rPr>
          <w:rFonts w:hint="eastAsia"/>
          <w:bCs/>
          <w:vertAlign w:val="superscript"/>
        </w:rPr>
        <w:t>th</w:t>
      </w:r>
      <w:r w:rsidRPr="00730FAF">
        <w:rPr>
          <w:rFonts w:hint="eastAsia"/>
          <w:bCs/>
        </w:rPr>
        <w:t xml:space="preserve"> October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C33679" w:rsidRPr="00C33679">
        <w:t>SRS design for FD-MIMO</w:t>
      </w:r>
    </w:p>
    <w:p w:rsidR="004E3F86" w:rsidRPr="009C059F" w:rsidRDefault="00EA7BAE" w:rsidP="00F508D1">
      <w:pPr>
        <w:pStyle w:val="Header"/>
        <w:tabs>
          <w:tab w:val="clear" w:pos="4536"/>
          <w:tab w:val="clear" w:pos="9072"/>
          <w:tab w:val="left" w:pos="1800"/>
          <w:tab w:val="center" w:pos="4703"/>
        </w:tabs>
      </w:pPr>
      <w:r w:rsidRPr="009C059F">
        <w:t>Agenda Item:</w:t>
      </w:r>
      <w:bookmarkStart w:id="3" w:name="Source"/>
      <w:bookmarkEnd w:id="3"/>
      <w:r w:rsidRPr="009C059F">
        <w:tab/>
      </w:r>
      <w:r w:rsidR="00730FAF" w:rsidRPr="009C059F">
        <w:t>7.2.4</w:t>
      </w:r>
      <w:r w:rsidR="009C059F">
        <w:t>.</w:t>
      </w:r>
      <w:r w:rsidR="00C33679">
        <w:t>2.2</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2E2D62" w:rsidRPr="002E2D62" w:rsidRDefault="002E2D6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sidRPr="002E2D62">
        <w:rPr>
          <w:rFonts w:ascii="Helvetica" w:eastAsia="MS Mincho" w:hAnsi="Helvetica" w:cs="Arial"/>
          <w:b/>
          <w:bCs/>
          <w:kern w:val="32"/>
          <w:sz w:val="28"/>
          <w:szCs w:val="32"/>
        </w:rPr>
        <w:t>Introduction</w:t>
      </w:r>
    </w:p>
    <w:p w:rsidR="001F4DE3" w:rsidRDefault="00FD746F" w:rsidP="00A54CF8">
      <w:pPr>
        <w:jc w:val="both"/>
      </w:pPr>
      <w:r>
        <w:t>In RAN1#82, th</w:t>
      </w:r>
      <w:r w:rsidR="000428E5">
        <w:t>e</w:t>
      </w:r>
      <w:r>
        <w:t xml:space="preserve"> following was agreed related to SRS:</w:t>
      </w:r>
    </w:p>
    <w:p w:rsidR="00FD746F" w:rsidRDefault="00FD746F" w:rsidP="00FD746F">
      <w:pPr>
        <w:rPr>
          <w:rFonts w:eastAsia="MS Mincho"/>
          <w:b/>
          <w:highlight w:val="green"/>
          <w:u w:val="single"/>
          <w:lang w:eastAsia="ja-JP"/>
        </w:rPr>
      </w:pPr>
    </w:p>
    <w:p w:rsidR="00FD746F" w:rsidRPr="0044044E" w:rsidRDefault="00FD746F" w:rsidP="00FD746F">
      <w:pPr>
        <w:ind w:left="709"/>
        <w:rPr>
          <w:rFonts w:eastAsia="MS Mincho"/>
          <w:b/>
          <w:highlight w:val="green"/>
          <w:u w:val="single"/>
          <w:lang w:eastAsia="ja-JP"/>
        </w:rPr>
      </w:pPr>
      <w:r w:rsidRPr="0044044E">
        <w:rPr>
          <w:rFonts w:eastAsia="MS Mincho"/>
          <w:b/>
          <w:highlight w:val="green"/>
          <w:u w:val="single"/>
          <w:lang w:eastAsia="ja-JP"/>
        </w:rPr>
        <w:t>Agreement:</w:t>
      </w:r>
    </w:p>
    <w:p w:rsidR="00FD746F" w:rsidRPr="00C946E0" w:rsidRDefault="00FD746F" w:rsidP="00FD746F">
      <w:pPr>
        <w:numPr>
          <w:ilvl w:val="0"/>
          <w:numId w:val="32"/>
        </w:numPr>
        <w:ind w:left="709" w:firstLine="0"/>
        <w:rPr>
          <w:rFonts w:eastAsia="MS Mincho"/>
          <w:lang w:eastAsia="ja-JP"/>
        </w:rPr>
      </w:pPr>
      <w:r w:rsidRPr="00C946E0">
        <w:rPr>
          <w:rFonts w:eastAsia="MS Mincho"/>
          <w:lang w:eastAsia="ja-JP"/>
        </w:rPr>
        <w:t xml:space="preserve">Specify at least the following SRS capacity enhancements in Rel-13: </w:t>
      </w:r>
    </w:p>
    <w:p w:rsidR="00FD746F" w:rsidRPr="00C946E0" w:rsidRDefault="00FD746F" w:rsidP="00FD746F">
      <w:pPr>
        <w:numPr>
          <w:ilvl w:val="1"/>
          <w:numId w:val="32"/>
        </w:numPr>
        <w:ind w:left="709" w:firstLine="0"/>
        <w:rPr>
          <w:rFonts w:eastAsia="MS Mincho"/>
          <w:lang w:eastAsia="ja-JP"/>
        </w:rPr>
      </w:pPr>
      <w:r w:rsidRPr="00C946E0">
        <w:rPr>
          <w:rFonts w:eastAsia="MS Mincho"/>
          <w:lang w:eastAsia="ja-JP"/>
        </w:rPr>
        <w:t>Increase the number of UpPTS SC-FDMA symbols for SRS</w:t>
      </w:r>
    </w:p>
    <w:p w:rsidR="00FD746F" w:rsidRPr="0044044E" w:rsidRDefault="00FD746F" w:rsidP="00FD746F">
      <w:pPr>
        <w:ind w:left="709"/>
        <w:rPr>
          <w:rFonts w:eastAsia="MS Mincho"/>
          <w:b/>
          <w:highlight w:val="darkYellow"/>
          <w:u w:val="single"/>
          <w:lang w:eastAsia="ja-JP"/>
        </w:rPr>
      </w:pPr>
      <w:r w:rsidRPr="0044044E">
        <w:rPr>
          <w:rFonts w:eastAsia="MS Mincho"/>
          <w:b/>
          <w:highlight w:val="darkYellow"/>
          <w:u w:val="single"/>
          <w:lang w:eastAsia="ja-JP"/>
        </w:rPr>
        <w:t>Working Assumption:</w:t>
      </w:r>
    </w:p>
    <w:p w:rsidR="00FD746F" w:rsidRDefault="00FD746F" w:rsidP="00FD746F">
      <w:pPr>
        <w:numPr>
          <w:ilvl w:val="1"/>
          <w:numId w:val="32"/>
        </w:numPr>
        <w:ind w:left="709" w:firstLine="0"/>
        <w:rPr>
          <w:rFonts w:eastAsia="MS Mincho"/>
          <w:lang w:eastAsia="ja-JP"/>
        </w:rPr>
      </w:pPr>
      <w:r>
        <w:rPr>
          <w:rFonts w:eastAsia="MS Mincho"/>
          <w:lang w:eastAsia="ja-JP"/>
        </w:rPr>
        <w:t>Increase</w:t>
      </w:r>
      <w:r w:rsidRPr="00C946E0">
        <w:rPr>
          <w:rFonts w:eastAsia="MS Mincho"/>
          <w:lang w:eastAsia="ja-JP"/>
        </w:rPr>
        <w:t xml:space="preserve"> number of combs </w:t>
      </w:r>
      <w:r>
        <w:rPr>
          <w:rFonts w:eastAsia="MS Mincho"/>
          <w:lang w:eastAsia="ja-JP"/>
        </w:rPr>
        <w:t>to 4</w:t>
      </w:r>
    </w:p>
    <w:p w:rsidR="00FD746F" w:rsidRDefault="00FD746F" w:rsidP="00FD746F">
      <w:pPr>
        <w:numPr>
          <w:ilvl w:val="2"/>
          <w:numId w:val="32"/>
        </w:numPr>
        <w:ind w:left="709" w:firstLine="0"/>
        <w:rPr>
          <w:rFonts w:eastAsia="MS Mincho"/>
          <w:lang w:eastAsia="ja-JP"/>
        </w:rPr>
      </w:pPr>
      <w:r>
        <w:rPr>
          <w:rFonts w:eastAsia="MS Mincho"/>
          <w:lang w:eastAsia="ja-JP"/>
        </w:rPr>
        <w:t xml:space="preserve">FFS: Max number of CS </w:t>
      </w:r>
    </w:p>
    <w:p w:rsidR="00FD746F" w:rsidRDefault="00FD746F" w:rsidP="00FD746F">
      <w:pPr>
        <w:ind w:left="709"/>
        <w:rPr>
          <w:rFonts w:eastAsia="MS Mincho"/>
          <w:lang w:eastAsia="ja-JP"/>
        </w:rPr>
      </w:pPr>
      <w:r>
        <w:rPr>
          <w:rFonts w:eastAsia="MS Mincho"/>
          <w:lang w:eastAsia="ja-JP"/>
        </w:rPr>
        <w:t xml:space="preserve">Other enhancement techniques that have been studied in the SI or submitted at RAN1#82 can also be discussed at RAN1#82bis. </w:t>
      </w:r>
    </w:p>
    <w:p w:rsidR="00FD746F" w:rsidRDefault="00FD746F" w:rsidP="00A54CF8">
      <w:pPr>
        <w:jc w:val="both"/>
        <w:rPr>
          <w:szCs w:val="20"/>
        </w:rPr>
      </w:pPr>
    </w:p>
    <w:p w:rsidR="00FD746F" w:rsidRDefault="00FD746F" w:rsidP="00A54CF8">
      <w:pPr>
        <w:jc w:val="both"/>
        <w:rPr>
          <w:szCs w:val="20"/>
        </w:rPr>
      </w:pPr>
      <w:r>
        <w:rPr>
          <w:szCs w:val="20"/>
        </w:rPr>
        <w:t>In this contribution, we give our view on these enhancements.</w:t>
      </w:r>
    </w:p>
    <w:p w:rsidR="00FD746F" w:rsidRDefault="00FD746F" w:rsidP="00A54CF8">
      <w:pPr>
        <w:jc w:val="both"/>
        <w:rPr>
          <w:szCs w:val="20"/>
        </w:rPr>
      </w:pPr>
    </w:p>
    <w:p w:rsidR="00FD746F" w:rsidRPr="00FD746F" w:rsidRDefault="00FD746F" w:rsidP="00FD746F">
      <w:pPr>
        <w:pStyle w:val="Heading1"/>
      </w:pPr>
      <w:r>
        <w:t>Virtual cell ID for SRS</w:t>
      </w:r>
    </w:p>
    <w:p w:rsidR="00B37B49" w:rsidRDefault="00FD746F" w:rsidP="00A54CF8">
      <w:pPr>
        <w:jc w:val="both"/>
        <w:rPr>
          <w:szCs w:val="20"/>
        </w:rPr>
      </w:pPr>
      <w:r>
        <w:rPr>
          <w:szCs w:val="20"/>
        </w:rPr>
        <w:t xml:space="preserve">In </w:t>
      </w:r>
      <w:r w:rsidR="000428E5">
        <w:rPr>
          <w:szCs w:val="20"/>
        </w:rPr>
        <w:t xml:space="preserve">the </w:t>
      </w:r>
      <w:r>
        <w:rPr>
          <w:szCs w:val="20"/>
        </w:rPr>
        <w:t>current specification</w:t>
      </w:r>
      <w:r w:rsidR="000428E5">
        <w:rPr>
          <w:szCs w:val="20"/>
        </w:rPr>
        <w:t>s</w:t>
      </w:r>
      <w:r>
        <w:rPr>
          <w:szCs w:val="20"/>
        </w:rPr>
        <w:t xml:space="preserve">, the SRS sequences are a function of the cell ID. Since EB/FD-MIMO provides eNB with more RXUs, the spatial separation of users in the uplink can be greatly magnified. It is then observed that the strict orthogonality between SRS transmissions from different UEs may impose a too large restriction on the available SRS resources in the cell. Hence, </w:t>
      </w:r>
      <w:r w:rsidR="00B37B49">
        <w:rPr>
          <w:szCs w:val="20"/>
        </w:rPr>
        <w:t>a straightforward enhancement technique is to introduce VCID also for SRS, as was proposed at RAN1#82 [1].</w:t>
      </w:r>
      <w:r w:rsidR="00C46A2B">
        <w:rPr>
          <w:szCs w:val="20"/>
        </w:rPr>
        <w:t xml:space="preserve"> Hence, we propose:</w:t>
      </w:r>
    </w:p>
    <w:p w:rsidR="00C46A2B" w:rsidRDefault="00C46A2B" w:rsidP="00A54CF8">
      <w:pPr>
        <w:jc w:val="both"/>
        <w:rPr>
          <w:szCs w:val="20"/>
        </w:rPr>
      </w:pPr>
    </w:p>
    <w:p w:rsidR="00C46A2B" w:rsidRDefault="00C46A2B" w:rsidP="00C46A2B">
      <w:pPr>
        <w:ind w:firstLine="432"/>
        <w:jc w:val="both"/>
        <w:rPr>
          <w:szCs w:val="20"/>
        </w:rPr>
      </w:pPr>
      <w:r w:rsidRPr="00C46A2B">
        <w:rPr>
          <w:b/>
          <w:szCs w:val="20"/>
        </w:rPr>
        <w:t>Proposal:</w:t>
      </w:r>
      <w:r>
        <w:rPr>
          <w:szCs w:val="20"/>
        </w:rPr>
        <w:t xml:space="preserve"> </w:t>
      </w:r>
      <w:r>
        <w:rPr>
          <w:i/>
          <w:szCs w:val="20"/>
        </w:rPr>
        <w:t>Introduce virtual cell ID</w:t>
      </w:r>
      <w:r w:rsidRPr="00C46A2B">
        <w:rPr>
          <w:i/>
          <w:szCs w:val="20"/>
        </w:rPr>
        <w:t xml:space="preserve"> for SRS in Rel.13</w:t>
      </w:r>
      <w:r>
        <w:rPr>
          <w:i/>
          <w:szCs w:val="20"/>
        </w:rPr>
        <w:t>in order to increase SRS capacity</w:t>
      </w:r>
    </w:p>
    <w:p w:rsidR="00B37B49" w:rsidRDefault="00B37B49" w:rsidP="00A54CF8">
      <w:pPr>
        <w:jc w:val="both"/>
        <w:rPr>
          <w:szCs w:val="20"/>
        </w:rPr>
      </w:pPr>
    </w:p>
    <w:p w:rsidR="00C46A2B" w:rsidRDefault="00FD746F" w:rsidP="00C46A2B">
      <w:pPr>
        <w:pStyle w:val="Heading1"/>
      </w:pPr>
      <w:r>
        <w:rPr>
          <w:szCs w:val="20"/>
        </w:rPr>
        <w:t xml:space="preserve">  </w:t>
      </w:r>
      <w:r w:rsidR="00C46A2B">
        <w:t>Increasing the number of UpPTS symbols for SRS</w:t>
      </w:r>
    </w:p>
    <w:p w:rsidR="00E5068E" w:rsidRDefault="00EE7A7A" w:rsidP="00C46A2B">
      <w:pPr>
        <w:pStyle w:val="BodyText"/>
      </w:pPr>
      <w:r>
        <w:t>For the aperiodic SRS, the UE may use only one of the symbols in UpPTS for SRS transmissions. This was clarified by agreed CRs at RAN1#76, e.g. [2]</w:t>
      </w:r>
      <w:r w:rsidR="00E5068E">
        <w:t xml:space="preserve"> which ruled out the multi-shot operation</w:t>
      </w:r>
      <w:r>
        <w:t xml:space="preserve">. </w:t>
      </w:r>
      <w:r w:rsidR="00A27BF6">
        <w:t xml:space="preserve">Hence, UEs can be multiplexed by being allocated to different SC-FDMA symbols (time multiplexing) and by increasing the number of symbols, SRS capacity is increased. </w:t>
      </w:r>
    </w:p>
    <w:p w:rsidR="00A27BF6" w:rsidRDefault="00A27BF6" w:rsidP="00C46A2B">
      <w:pPr>
        <w:pStyle w:val="BodyText"/>
      </w:pPr>
      <w:r>
        <w:t xml:space="preserve">A problem is then that a rather wideband SRS transmission is required from the UE and there may be coverage and channel estimation performance issues when the UE transmit power is limited. This may then impact on the EB/FD-MIMO performance when utilizing channel reciprocity. </w:t>
      </w:r>
    </w:p>
    <w:p w:rsidR="001B1811" w:rsidRDefault="001B1811" w:rsidP="00C46A2B">
      <w:pPr>
        <w:pStyle w:val="BodyText"/>
      </w:pPr>
      <w:r>
        <w:t xml:space="preserve">In [3], we made the following proposal for SRS: </w:t>
      </w:r>
    </w:p>
    <w:p w:rsidR="001B1811" w:rsidRPr="001B1811" w:rsidRDefault="001B1811" w:rsidP="001B1811">
      <w:pPr>
        <w:ind w:left="567"/>
        <w:jc w:val="both"/>
        <w:rPr>
          <w:i/>
          <w:lang w:eastAsia="ja-JP"/>
        </w:rPr>
      </w:pPr>
      <w:r w:rsidRPr="001B1811">
        <w:rPr>
          <w:i/>
          <w:lang w:eastAsia="ja-JP"/>
        </w:rPr>
        <w:t>Introduce an enhanced SRS, transmitted in the PUSCH region, covering the whole subframe. The following aspects should be considered in the design:</w:t>
      </w:r>
    </w:p>
    <w:p w:rsidR="001B1811" w:rsidRPr="001B1811" w:rsidRDefault="001B1811" w:rsidP="001B1811">
      <w:pPr>
        <w:numPr>
          <w:ilvl w:val="0"/>
          <w:numId w:val="34"/>
        </w:numPr>
        <w:ind w:left="1276" w:hanging="283"/>
        <w:jc w:val="both"/>
        <w:rPr>
          <w:i/>
          <w:lang w:eastAsia="ja-JP"/>
        </w:rPr>
      </w:pPr>
      <w:r w:rsidRPr="001B1811">
        <w:rPr>
          <w:i/>
          <w:lang w:eastAsia="ja-JP"/>
        </w:rPr>
        <w:t>Increased sounding capacity</w:t>
      </w:r>
    </w:p>
    <w:p w:rsidR="001B1811" w:rsidRPr="001B1811" w:rsidRDefault="001B1811" w:rsidP="001B1811">
      <w:pPr>
        <w:numPr>
          <w:ilvl w:val="0"/>
          <w:numId w:val="34"/>
        </w:numPr>
        <w:ind w:left="1276" w:hanging="283"/>
        <w:jc w:val="both"/>
        <w:rPr>
          <w:i/>
          <w:lang w:eastAsia="ja-JP"/>
        </w:rPr>
      </w:pPr>
      <w:r w:rsidRPr="001B1811">
        <w:rPr>
          <w:i/>
          <w:lang w:eastAsia="ja-JP"/>
        </w:rPr>
        <w:t>Increased quality of estimates by more power per RE/narrow sounding</w:t>
      </w:r>
    </w:p>
    <w:p w:rsidR="001B1811" w:rsidRPr="001B1811" w:rsidRDefault="001B1811" w:rsidP="001B1811">
      <w:pPr>
        <w:numPr>
          <w:ilvl w:val="0"/>
          <w:numId w:val="34"/>
        </w:numPr>
        <w:ind w:left="1276" w:hanging="283"/>
        <w:jc w:val="both"/>
        <w:rPr>
          <w:i/>
          <w:lang w:eastAsia="ja-JP"/>
        </w:rPr>
      </w:pPr>
      <w:r w:rsidRPr="001B1811">
        <w:rPr>
          <w:i/>
          <w:lang w:eastAsia="ja-JP"/>
        </w:rPr>
        <w:t>Full bandwidth sounding in the subframe</w:t>
      </w:r>
    </w:p>
    <w:p w:rsidR="001B1811" w:rsidRPr="001B1811" w:rsidRDefault="001B1811" w:rsidP="001B1811">
      <w:pPr>
        <w:numPr>
          <w:ilvl w:val="0"/>
          <w:numId w:val="34"/>
        </w:numPr>
        <w:ind w:left="1276" w:hanging="283"/>
        <w:jc w:val="both"/>
        <w:rPr>
          <w:i/>
          <w:lang w:eastAsia="ja-JP"/>
        </w:rPr>
      </w:pPr>
      <w:r w:rsidRPr="001B1811">
        <w:rPr>
          <w:i/>
          <w:lang w:eastAsia="ja-JP"/>
        </w:rPr>
        <w:t xml:space="preserve">Enable Doppler frequency estimation </w:t>
      </w:r>
    </w:p>
    <w:p w:rsidR="001B1811" w:rsidRPr="001B1811" w:rsidRDefault="001B1811" w:rsidP="001B1811">
      <w:pPr>
        <w:numPr>
          <w:ilvl w:val="0"/>
          <w:numId w:val="34"/>
        </w:numPr>
        <w:ind w:left="1276" w:hanging="283"/>
        <w:jc w:val="both"/>
        <w:rPr>
          <w:i/>
          <w:lang w:eastAsia="ja-JP"/>
        </w:rPr>
      </w:pPr>
      <w:r w:rsidRPr="001B1811">
        <w:rPr>
          <w:i/>
          <w:lang w:eastAsia="ja-JP"/>
        </w:rPr>
        <w:t>Resolving the PUSCH distortion problem due to power ramping</w:t>
      </w:r>
    </w:p>
    <w:p w:rsidR="001B1811" w:rsidRPr="001B1811" w:rsidRDefault="001B1811" w:rsidP="001B1811">
      <w:pPr>
        <w:numPr>
          <w:ilvl w:val="0"/>
          <w:numId w:val="34"/>
        </w:numPr>
        <w:ind w:left="1276" w:hanging="283"/>
        <w:jc w:val="both"/>
        <w:rPr>
          <w:i/>
          <w:lang w:eastAsia="ja-JP"/>
        </w:rPr>
      </w:pPr>
      <w:r w:rsidRPr="001B1811">
        <w:rPr>
          <w:i/>
          <w:lang w:eastAsia="ja-JP"/>
        </w:rPr>
        <w:t>Scalable property to UpPTS subframes use as well as normal subframes use</w:t>
      </w:r>
    </w:p>
    <w:p w:rsidR="001B1811" w:rsidRDefault="001B1811" w:rsidP="001B1811">
      <w:pPr>
        <w:jc w:val="both"/>
        <w:rPr>
          <w:lang w:eastAsia="ja-JP"/>
        </w:rPr>
      </w:pPr>
    </w:p>
    <w:p w:rsidR="001B1811" w:rsidRDefault="001B1811" w:rsidP="001B1811">
      <w:pPr>
        <w:jc w:val="both"/>
        <w:rPr>
          <w:lang w:eastAsia="ja-JP"/>
        </w:rPr>
      </w:pPr>
      <w:r>
        <w:rPr>
          <w:lang w:eastAsia="ja-JP"/>
        </w:rPr>
        <w:lastRenderedPageBreak/>
        <w:t xml:space="preserve">An example of a full subframe SRS structure can be seen in the figure below where  a given antenna port is transmitting SRS twice per subframe and where the used resources are staggered across the subframe to ensure that the full system bandwidth is sounded , per slot. The hopping pattern within the subframe can be UE specific to utilize the full subframe and reach very large sounding capacities. Still, legacy multiplexing methods such as comb and cyclic shifts can be used for multiplexing as well.  </w:t>
      </w:r>
    </w:p>
    <w:p w:rsidR="001B1811" w:rsidRDefault="001B1811" w:rsidP="001B1811">
      <w:pPr>
        <w:jc w:val="both"/>
        <w:rPr>
          <w:lang w:eastAsia="ja-JP"/>
        </w:rPr>
      </w:pPr>
    </w:p>
    <w:p w:rsidR="001B1811" w:rsidRDefault="001B1811" w:rsidP="001B1811">
      <w:pPr>
        <w:jc w:val="both"/>
        <w:rPr>
          <w:lang w:eastAsia="ja-JP"/>
        </w:rPr>
      </w:pPr>
    </w:p>
    <w:p w:rsidR="001B1811" w:rsidRDefault="001B1811" w:rsidP="001B1811">
      <w:pPr>
        <w:ind w:left="1304" w:firstLine="1304"/>
        <w:jc w:val="both"/>
        <w:rPr>
          <w:lang w:eastAsia="ja-JP"/>
        </w:rPr>
      </w:pPr>
      <w:r>
        <w:rPr>
          <w:noProof/>
        </w:rPr>
        <w:drawing>
          <wp:inline distT="0" distB="0" distL="0" distR="0" wp14:anchorId="7CB65B65" wp14:editId="7ADD2753">
            <wp:extent cx="2477135" cy="2886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7135" cy="2886075"/>
                    </a:xfrm>
                    <a:prstGeom prst="rect">
                      <a:avLst/>
                    </a:prstGeom>
                    <a:noFill/>
                  </pic:spPr>
                </pic:pic>
              </a:graphicData>
            </a:graphic>
          </wp:inline>
        </w:drawing>
      </w:r>
      <w:r>
        <w:rPr>
          <w:lang w:eastAsia="ja-JP"/>
        </w:rPr>
        <w:tab/>
      </w:r>
    </w:p>
    <w:p w:rsidR="001B1811" w:rsidRPr="0080668E" w:rsidRDefault="001B1811" w:rsidP="001B1811">
      <w:pPr>
        <w:pStyle w:val="Caption"/>
        <w:jc w:val="center"/>
        <w:rPr>
          <w:lang w:val="en-US"/>
        </w:rPr>
      </w:pPr>
      <w:r w:rsidRPr="0080668E">
        <w:rPr>
          <w:lang w:val="en-US"/>
        </w:rPr>
        <w:t xml:space="preserve">Figure </w:t>
      </w:r>
      <w:r>
        <w:fldChar w:fldCharType="begin"/>
      </w:r>
      <w:r w:rsidRPr="0080668E">
        <w:rPr>
          <w:lang w:val="en-US"/>
        </w:rPr>
        <w:instrText xml:space="preserve"> SEQ Figure \* ARABIC </w:instrText>
      </w:r>
      <w:r>
        <w:fldChar w:fldCharType="separate"/>
      </w:r>
      <w:r>
        <w:rPr>
          <w:noProof/>
          <w:lang w:val="en-US"/>
        </w:rPr>
        <w:t>1</w:t>
      </w:r>
      <w:r>
        <w:fldChar w:fldCharType="end"/>
      </w:r>
      <w:r w:rsidRPr="0080668E">
        <w:rPr>
          <w:lang w:val="en-US"/>
        </w:rPr>
        <w:t>. An example of SRS enhancement with a full subframe structure</w:t>
      </w:r>
    </w:p>
    <w:p w:rsidR="001B1811" w:rsidRDefault="001B1811" w:rsidP="00C46A2B">
      <w:pPr>
        <w:pStyle w:val="BodyText"/>
      </w:pPr>
    </w:p>
    <w:p w:rsidR="00A27BF6" w:rsidRDefault="007861C0" w:rsidP="00C46A2B">
      <w:pPr>
        <w:pStyle w:val="BodyText"/>
      </w:pPr>
      <w:r>
        <w:t xml:space="preserve">Although SRS </w:t>
      </w:r>
      <w:r w:rsidR="00A27BF6">
        <w:t>capacity enhancements are</w:t>
      </w:r>
      <w:r>
        <w:t xml:space="preserve"> the main focus of the </w:t>
      </w:r>
      <w:r w:rsidR="00A27BF6">
        <w:t xml:space="preserve">WI, improving SRS channel estimation performance </w:t>
      </w:r>
      <w:r w:rsidR="00E5068E">
        <w:t xml:space="preserve">at the same time </w:t>
      </w:r>
      <w:r w:rsidR="00A27BF6">
        <w:t xml:space="preserve">would benefit </w:t>
      </w:r>
      <w:r w:rsidR="00E5068E">
        <w:t xml:space="preserve">the </w:t>
      </w:r>
      <w:r w:rsidR="00A27BF6">
        <w:t xml:space="preserve">EB/FD-MIMO </w:t>
      </w:r>
      <w:r w:rsidR="00E5068E">
        <w:t xml:space="preserve">feature </w:t>
      </w:r>
      <w:r w:rsidR="00A27BF6">
        <w:t xml:space="preserve">as a whole. </w:t>
      </w:r>
      <w:r w:rsidR="001B1811">
        <w:t>Since there may not be time to fulfil</w:t>
      </w:r>
      <w:r w:rsidR="000428E5">
        <w:t>l</w:t>
      </w:r>
      <w:r w:rsidR="001B1811">
        <w:t xml:space="preserve"> full subframe SRS transmissions in Rel.13 timeframe, some of the benefits of the full subframe SRS can also be achieved in UpPTS. </w:t>
      </w:r>
      <w:r w:rsidR="00C8026F">
        <w:t>Hence we propose to use the full subframe structure of Figure 1, but applied to only the UpPTS symbols</w:t>
      </w:r>
      <w:r w:rsidR="00A27BF6">
        <w:t>.</w:t>
      </w:r>
    </w:p>
    <w:p w:rsidR="00C46A2B" w:rsidRPr="0094411A" w:rsidRDefault="00A27BF6" w:rsidP="0094411A">
      <w:pPr>
        <w:pStyle w:val="BodyText"/>
        <w:ind w:firstLine="426"/>
        <w:rPr>
          <w:b/>
        </w:rPr>
      </w:pPr>
      <w:r w:rsidRPr="00A27BF6">
        <w:rPr>
          <w:b/>
        </w:rPr>
        <w:t>Proposal:</w:t>
      </w:r>
      <w:r w:rsidR="0094411A">
        <w:rPr>
          <w:b/>
        </w:rPr>
        <w:t xml:space="preserve"> </w:t>
      </w:r>
      <w:r w:rsidRPr="0094411A">
        <w:rPr>
          <w:i/>
        </w:rPr>
        <w:t>Introduce a frequency hopped multi-shot aperiodic SRS within UpPTS</w:t>
      </w:r>
    </w:p>
    <w:p w:rsidR="00B37B49" w:rsidRDefault="00A27BF6" w:rsidP="00A54CF8">
      <w:pPr>
        <w:jc w:val="both"/>
        <w:rPr>
          <w:szCs w:val="20"/>
        </w:rPr>
      </w:pPr>
      <w:r>
        <w:rPr>
          <w:szCs w:val="20"/>
        </w:rPr>
        <w:t xml:space="preserve">Hence, different bandwidth parts are sounded per SC-FDMA symbol within the UpPTS instead of a wideband SRS transmission in one single SC-FDMA symbol. </w:t>
      </w:r>
      <w:r w:rsidR="001A0519">
        <w:rPr>
          <w:szCs w:val="20"/>
        </w:rPr>
        <w:t xml:space="preserve">Different users can thus be multiplexed in time-frequency domain as well. </w:t>
      </w:r>
      <w:r>
        <w:rPr>
          <w:szCs w:val="20"/>
        </w:rPr>
        <w:t xml:space="preserve">This is beneficial since more energy per RE can be used for SRS transmission which improves channel estimation performance and reciprocity based DL MIMO operation. </w:t>
      </w:r>
    </w:p>
    <w:p w:rsidR="0094411A" w:rsidRDefault="0094411A" w:rsidP="00B37B49">
      <w:pPr>
        <w:pStyle w:val="Heading1"/>
      </w:pPr>
      <w:r>
        <w:t>Conclusion</w:t>
      </w:r>
    </w:p>
    <w:p w:rsidR="0094411A" w:rsidRDefault="00C8026F" w:rsidP="0094411A">
      <w:pPr>
        <w:pStyle w:val="BodyText"/>
      </w:pPr>
      <w:r>
        <w:t>We propose the following related to SRS.</w:t>
      </w:r>
    </w:p>
    <w:p w:rsidR="00C8026F" w:rsidRPr="00C8026F" w:rsidRDefault="00C8026F" w:rsidP="00C8026F">
      <w:pPr>
        <w:ind w:firstLine="432"/>
        <w:jc w:val="both"/>
        <w:rPr>
          <w:szCs w:val="20"/>
        </w:rPr>
      </w:pPr>
      <w:r w:rsidRPr="00C46A2B">
        <w:rPr>
          <w:b/>
          <w:szCs w:val="20"/>
        </w:rPr>
        <w:t>Proposal:</w:t>
      </w:r>
      <w:r>
        <w:rPr>
          <w:szCs w:val="20"/>
        </w:rPr>
        <w:t xml:space="preserve"> </w:t>
      </w:r>
      <w:r>
        <w:rPr>
          <w:i/>
          <w:szCs w:val="20"/>
        </w:rPr>
        <w:t>Introduce virtual cell ID</w:t>
      </w:r>
      <w:r w:rsidRPr="00C46A2B">
        <w:rPr>
          <w:i/>
          <w:szCs w:val="20"/>
        </w:rPr>
        <w:t xml:space="preserve"> for SRS in Rel.13</w:t>
      </w:r>
      <w:r w:rsidR="00DF7ABB">
        <w:rPr>
          <w:i/>
          <w:szCs w:val="20"/>
        </w:rPr>
        <w:t xml:space="preserve"> </w:t>
      </w:r>
      <w:r>
        <w:rPr>
          <w:i/>
          <w:szCs w:val="20"/>
        </w:rPr>
        <w:t>in order to increase SRS capacity</w:t>
      </w:r>
    </w:p>
    <w:p w:rsidR="0094411A" w:rsidRPr="00C8026F" w:rsidRDefault="00C8026F" w:rsidP="00C8026F">
      <w:pPr>
        <w:pStyle w:val="BodyText"/>
        <w:ind w:firstLine="426"/>
        <w:rPr>
          <w:b/>
        </w:rPr>
      </w:pPr>
      <w:r w:rsidRPr="00A27BF6">
        <w:rPr>
          <w:b/>
        </w:rPr>
        <w:t>Proposal:</w:t>
      </w:r>
      <w:r>
        <w:rPr>
          <w:b/>
        </w:rPr>
        <w:t xml:space="preserve"> </w:t>
      </w:r>
      <w:r w:rsidRPr="0094411A">
        <w:rPr>
          <w:i/>
        </w:rPr>
        <w:t>Introduce a frequency hopped multi-shot aperiodic SRS within UpPTS</w:t>
      </w:r>
    </w:p>
    <w:p w:rsidR="00B37B49" w:rsidRDefault="00B37B49" w:rsidP="00B37B49">
      <w:pPr>
        <w:pStyle w:val="Heading1"/>
      </w:pPr>
      <w:r>
        <w:t>References</w:t>
      </w:r>
    </w:p>
    <w:p w:rsidR="00B37B49" w:rsidRDefault="00B37B49" w:rsidP="00B37B49">
      <w:pPr>
        <w:pStyle w:val="BodyText"/>
      </w:pPr>
      <w:r>
        <w:t>[1] R1-154275, “</w:t>
      </w:r>
      <w:r w:rsidRPr="00B37B49">
        <w:t>Discussion on SRS capacity improvement</w:t>
      </w:r>
      <w:r>
        <w:t>”, LG Electronics, Beijing, August 2015.</w:t>
      </w:r>
    </w:p>
    <w:p w:rsidR="00EE7A7A" w:rsidRDefault="00EE7A7A" w:rsidP="00B37B49">
      <w:pPr>
        <w:pStyle w:val="BodyText"/>
      </w:pPr>
      <w:r>
        <w:t>[2] R1-141046, “</w:t>
      </w:r>
      <w:r w:rsidRPr="00EE7A7A">
        <w:t xml:space="preserve">Modification to I_SRS = 0 for trigger type 1 SRS and </w:t>
      </w:r>
      <w:r w:rsidR="000428E5" w:rsidRPr="00EE7A7A">
        <w:t>TDD</w:t>
      </w:r>
      <w:r w:rsidR="000428E5">
        <w:t xml:space="preserve">”, </w:t>
      </w:r>
      <w:r w:rsidR="000428E5" w:rsidRPr="00EE7A7A">
        <w:t>Qualcomm</w:t>
      </w:r>
      <w:r w:rsidRPr="00EE7A7A">
        <w:t xml:space="preserve"> Inc., Huawei, HiSilicon, Fujitsu, BlackBerry, LG Electronics, CATT, Nokia, NSN</w:t>
      </w:r>
      <w:r>
        <w:t>, Prague, February 2014</w:t>
      </w:r>
    </w:p>
    <w:p w:rsidR="001B1811" w:rsidRPr="00B37B49" w:rsidRDefault="001B1811" w:rsidP="00B37B49">
      <w:pPr>
        <w:pStyle w:val="BodyText"/>
      </w:pPr>
      <w:r>
        <w:t>[3] R1-154554. “</w:t>
      </w:r>
      <w:r w:rsidRPr="00B7233B">
        <w:rPr>
          <w:lang w:val="en-GB"/>
        </w:rPr>
        <w:t>On SRS enhancements in Rel.13</w:t>
      </w:r>
      <w:r>
        <w:rPr>
          <w:lang w:val="en-GB"/>
        </w:rPr>
        <w:t>”, Ericsson</w:t>
      </w:r>
    </w:p>
    <w:p w:rsidR="00B37B49" w:rsidRPr="00297A01" w:rsidRDefault="00B37B49" w:rsidP="00A54CF8">
      <w:pPr>
        <w:jc w:val="both"/>
        <w:rPr>
          <w:szCs w:val="20"/>
        </w:rPr>
      </w:pPr>
    </w:p>
    <w:sectPr w:rsidR="00B37B49" w:rsidRPr="00297A01">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62C" w:rsidRDefault="0071062C">
      <w:r>
        <w:separator/>
      </w:r>
    </w:p>
  </w:endnote>
  <w:endnote w:type="continuationSeparator" w:id="0">
    <w:p w:rsidR="0071062C" w:rsidRDefault="0071062C">
      <w:r>
        <w:continuationSeparator/>
      </w:r>
    </w:p>
  </w:endnote>
  <w:endnote w:type="continuationNotice" w:id="1">
    <w:p w:rsidR="0071062C" w:rsidRDefault="00710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FD" w:rsidRDefault="006C1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FD" w:rsidRDefault="006C14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FD" w:rsidRDefault="006C14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62C" w:rsidRDefault="0071062C">
      <w:r>
        <w:separator/>
      </w:r>
    </w:p>
  </w:footnote>
  <w:footnote w:type="continuationSeparator" w:id="0">
    <w:p w:rsidR="0071062C" w:rsidRDefault="0071062C">
      <w:r>
        <w:continuationSeparator/>
      </w:r>
    </w:p>
  </w:footnote>
  <w:footnote w:type="continuationNotice" w:id="1">
    <w:p w:rsidR="0071062C" w:rsidRDefault="007106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FD" w:rsidRDefault="006C14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FD" w:rsidRDefault="006C14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FD" w:rsidRDefault="006C14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2">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D2E08"/>
    <w:multiLevelType w:val="hybridMultilevel"/>
    <w:tmpl w:val="642A2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1206E2"/>
    <w:multiLevelType w:val="hybridMultilevel"/>
    <w:tmpl w:val="8354A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4">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16">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17">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4C51FF"/>
    <w:multiLevelType w:val="hybridMultilevel"/>
    <w:tmpl w:val="B088F37C"/>
    <w:lvl w:ilvl="0" w:tplc="04090001">
      <w:start w:val="1"/>
      <w:numFmt w:val="bullet"/>
      <w:lvlText w:val=""/>
      <w:lvlJc w:val="left"/>
      <w:pPr>
        <w:ind w:left="2025" w:hanging="360"/>
      </w:pPr>
      <w:rPr>
        <w:rFonts w:ascii="Symbol" w:hAnsi="Symbo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23">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24">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6727064E"/>
    <w:multiLevelType w:val="hybridMultilevel"/>
    <w:tmpl w:val="F880D3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nsid w:val="6BEF7DD5"/>
    <w:multiLevelType w:val="hybridMultilevel"/>
    <w:tmpl w:val="5CE2D04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27">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32">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1"/>
  </w:num>
  <w:num w:numId="2">
    <w:abstractNumId w:val="32"/>
  </w:num>
  <w:num w:numId="3">
    <w:abstractNumId w:val="18"/>
  </w:num>
  <w:num w:numId="4">
    <w:abstractNumId w:val="8"/>
  </w:num>
  <w:num w:numId="5">
    <w:abstractNumId w:val="33"/>
  </w:num>
  <w:num w:numId="6">
    <w:abstractNumId w:val="29"/>
  </w:num>
  <w:num w:numId="7">
    <w:abstractNumId w:val="24"/>
  </w:num>
  <w:num w:numId="8">
    <w:abstractNumId w:val="19"/>
  </w:num>
  <w:num w:numId="9">
    <w:abstractNumId w:val="7"/>
  </w:num>
  <w:num w:numId="10">
    <w:abstractNumId w:val="20"/>
  </w:num>
  <w:num w:numId="11">
    <w:abstractNumId w:val="10"/>
  </w:num>
  <w:num w:numId="12">
    <w:abstractNumId w:val="5"/>
  </w:num>
  <w:num w:numId="13">
    <w:abstractNumId w:val="28"/>
  </w:num>
  <w:num w:numId="14">
    <w:abstractNumId w:val="6"/>
  </w:num>
  <w:num w:numId="15">
    <w:abstractNumId w:val="13"/>
  </w:num>
  <w:num w:numId="16">
    <w:abstractNumId w:val="1"/>
  </w:num>
  <w:num w:numId="17">
    <w:abstractNumId w:val="15"/>
  </w:num>
  <w:num w:numId="18">
    <w:abstractNumId w:val="4"/>
  </w:num>
  <w:num w:numId="19">
    <w:abstractNumId w:val="0"/>
  </w:num>
  <w:num w:numId="20">
    <w:abstractNumId w:val="31"/>
  </w:num>
  <w:num w:numId="21">
    <w:abstractNumId w:val="17"/>
  </w:num>
  <w:num w:numId="22">
    <w:abstractNumId w:val="30"/>
  </w:num>
  <w:num w:numId="23">
    <w:abstractNumId w:val="27"/>
  </w:num>
  <w:num w:numId="24">
    <w:abstractNumId w:val="3"/>
  </w:num>
  <w:num w:numId="25">
    <w:abstractNumId w:val="23"/>
  </w:num>
  <w:num w:numId="26">
    <w:abstractNumId w:val="16"/>
  </w:num>
  <w:num w:numId="27">
    <w:abstractNumId w:val="14"/>
  </w:num>
  <w:num w:numId="28">
    <w:abstractNumId w:val="9"/>
  </w:num>
  <w:num w:numId="29">
    <w:abstractNumId w:val="2"/>
  </w:num>
  <w:num w:numId="30">
    <w:abstractNumId w:val="11"/>
  </w:num>
  <w:num w:numId="31">
    <w:abstractNumId w:val="12"/>
  </w:num>
  <w:num w:numId="32">
    <w:abstractNumId w:val="26"/>
  </w:num>
  <w:num w:numId="33">
    <w:abstractNumId w:val="25"/>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72B"/>
    <w:rsid w:val="000428E5"/>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6E"/>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927"/>
    <w:rsid w:val="00190B9A"/>
    <w:rsid w:val="00190C5C"/>
    <w:rsid w:val="00190CA0"/>
    <w:rsid w:val="00191495"/>
    <w:rsid w:val="0019160F"/>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519"/>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811"/>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1A4C"/>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82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4D8"/>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979"/>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2622"/>
    <w:rsid w:val="004231C1"/>
    <w:rsid w:val="00423354"/>
    <w:rsid w:val="004235B1"/>
    <w:rsid w:val="00423603"/>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38AF"/>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1864"/>
    <w:rsid w:val="005D2264"/>
    <w:rsid w:val="005D304E"/>
    <w:rsid w:val="005D3698"/>
    <w:rsid w:val="005D40D7"/>
    <w:rsid w:val="005D40F7"/>
    <w:rsid w:val="005D453E"/>
    <w:rsid w:val="005D49C8"/>
    <w:rsid w:val="005D49DB"/>
    <w:rsid w:val="005D5003"/>
    <w:rsid w:val="005D5B2B"/>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7824"/>
    <w:rsid w:val="006B78BC"/>
    <w:rsid w:val="006C03A8"/>
    <w:rsid w:val="006C09A4"/>
    <w:rsid w:val="006C0B65"/>
    <w:rsid w:val="006C0DCA"/>
    <w:rsid w:val="006C13D5"/>
    <w:rsid w:val="006C14FD"/>
    <w:rsid w:val="006C1747"/>
    <w:rsid w:val="006C1A58"/>
    <w:rsid w:val="006C2A51"/>
    <w:rsid w:val="006C4592"/>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5B4E"/>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2C"/>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1C0"/>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2B21"/>
    <w:rsid w:val="007B3A78"/>
    <w:rsid w:val="007B3DB8"/>
    <w:rsid w:val="007B3DC8"/>
    <w:rsid w:val="007B3E3C"/>
    <w:rsid w:val="007B4239"/>
    <w:rsid w:val="007B46AA"/>
    <w:rsid w:val="007B48F8"/>
    <w:rsid w:val="007B51D1"/>
    <w:rsid w:val="007B5B02"/>
    <w:rsid w:val="007B5BB0"/>
    <w:rsid w:val="007B63A1"/>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3FC"/>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11A"/>
    <w:rsid w:val="0094446A"/>
    <w:rsid w:val="00944690"/>
    <w:rsid w:val="0094491B"/>
    <w:rsid w:val="00944D92"/>
    <w:rsid w:val="00945973"/>
    <w:rsid w:val="00945ACE"/>
    <w:rsid w:val="0094623C"/>
    <w:rsid w:val="009469C0"/>
    <w:rsid w:val="00946D23"/>
    <w:rsid w:val="0095025C"/>
    <w:rsid w:val="009502E2"/>
    <w:rsid w:val="00950FA3"/>
    <w:rsid w:val="009513FC"/>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786"/>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27BF6"/>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1D19"/>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53C"/>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37B49"/>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877"/>
    <w:rsid w:val="00B96BA0"/>
    <w:rsid w:val="00B9702E"/>
    <w:rsid w:val="00B97742"/>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679"/>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6A2B"/>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F1D"/>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26F"/>
    <w:rsid w:val="00C80494"/>
    <w:rsid w:val="00C808F4"/>
    <w:rsid w:val="00C8109D"/>
    <w:rsid w:val="00C810AC"/>
    <w:rsid w:val="00C81353"/>
    <w:rsid w:val="00C81562"/>
    <w:rsid w:val="00C81A40"/>
    <w:rsid w:val="00C81B71"/>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38E5"/>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DF7ABB"/>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1FF7"/>
    <w:rsid w:val="00E22304"/>
    <w:rsid w:val="00E22FEF"/>
    <w:rsid w:val="00E235D0"/>
    <w:rsid w:val="00E23A21"/>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068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5F9C"/>
    <w:rsid w:val="00EE62DE"/>
    <w:rsid w:val="00EE6B85"/>
    <w:rsid w:val="00EE6E97"/>
    <w:rsid w:val="00EE729E"/>
    <w:rsid w:val="00EE778E"/>
    <w:rsid w:val="00EE7A7A"/>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D746F"/>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6A41F-DF63-451F-8F5E-3BD269A3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3859</Characters>
  <Application>Microsoft Office Word</Application>
  <DocSecurity>0</DocSecurity>
  <Lines>32</Lines>
  <Paragraphs>9</Paragraphs>
  <ScaleCrop>false</ScaleCrop>
  <Company/>
  <LinksUpToDate>false</LinksUpToDate>
  <CharactersWithSpaces>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2015-09-26T02:06:00Z</dcterms:created>
  <dcterms:modified xsi:type="dcterms:W3CDTF">2015-09-26T02:06:00Z</dcterms:modified>
</cp:coreProperties>
</file>